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DB2" w:rsidRPr="00A80DB2" w:rsidRDefault="008563AD" w:rsidP="00A80DB2">
      <w:pPr>
        <w:spacing w:before="30" w:after="150" w:line="390" w:lineRule="atLeast"/>
        <w:ind w:left="375" w:right="375"/>
        <w:jc w:val="center"/>
        <w:rPr>
          <w:rFonts w:eastAsia="Times New Roman" w:cstheme="minorHAnsi"/>
          <w:color w:val="FF0000"/>
          <w:sz w:val="32"/>
          <w:szCs w:val="32"/>
        </w:rPr>
      </w:pPr>
      <w:bookmarkStart w:id="0" w:name="_GoBack"/>
      <w:bookmarkEnd w:id="0"/>
      <w:r>
        <w:rPr>
          <w:rFonts w:eastAsia="Times New Roman" w:cstheme="minorHAnsi"/>
          <w:color w:val="FF0000"/>
          <w:sz w:val="32"/>
          <w:szCs w:val="32"/>
        </w:rPr>
        <w:t>Unit 6 A</w:t>
      </w:r>
      <w:r w:rsidR="00A80DB2" w:rsidRPr="00A80DB2">
        <w:rPr>
          <w:rFonts w:eastAsia="Times New Roman" w:cstheme="minorHAnsi"/>
          <w:color w:val="FF0000"/>
          <w:sz w:val="32"/>
          <w:szCs w:val="32"/>
        </w:rPr>
        <w:t>ssignment template.  Please fill in the requested information.</w:t>
      </w:r>
    </w:p>
    <w:p w:rsidR="00A80DB2" w:rsidRPr="00A80DB2" w:rsidRDefault="00A80DB2" w:rsidP="00A80DB2">
      <w:pPr>
        <w:spacing w:before="30" w:after="150" w:line="390" w:lineRule="atLeast"/>
        <w:ind w:left="375" w:right="375"/>
        <w:jc w:val="center"/>
        <w:rPr>
          <w:rFonts w:eastAsia="Times New Roman" w:cstheme="minorHAnsi"/>
          <w:color w:val="FF0000"/>
          <w:sz w:val="32"/>
          <w:szCs w:val="32"/>
        </w:rPr>
      </w:pPr>
      <w:r w:rsidRPr="00A80DB2">
        <w:rPr>
          <w:rFonts w:eastAsia="Times New Roman" w:cstheme="minorHAnsi"/>
          <w:color w:val="FF0000"/>
          <w:sz w:val="32"/>
          <w:szCs w:val="32"/>
        </w:rPr>
        <w:t>Please submit to the Dropbo</w:t>
      </w:r>
      <w:r w:rsidR="008563AD">
        <w:rPr>
          <w:rFonts w:eastAsia="Times New Roman" w:cstheme="minorHAnsi"/>
          <w:color w:val="FF0000"/>
          <w:sz w:val="32"/>
          <w:szCs w:val="32"/>
        </w:rPr>
        <w:t>x when you have completed your A</w:t>
      </w:r>
      <w:r w:rsidRPr="00A80DB2">
        <w:rPr>
          <w:rFonts w:eastAsia="Times New Roman" w:cstheme="minorHAnsi"/>
          <w:color w:val="FF0000"/>
          <w:sz w:val="32"/>
          <w:szCs w:val="32"/>
        </w:rPr>
        <w:t>ssignment.</w:t>
      </w:r>
    </w:p>
    <w:tbl>
      <w:tblPr>
        <w:tblW w:w="13395" w:type="dxa"/>
        <w:tblBorders>
          <w:top w:val="outset" w:sz="6" w:space="0" w:color="auto"/>
          <w:left w:val="outset" w:sz="6" w:space="0" w:color="auto"/>
          <w:bottom w:val="single" w:sz="12" w:space="0" w:color="666666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5"/>
        <w:gridCol w:w="3315"/>
        <w:gridCol w:w="3628"/>
        <w:gridCol w:w="3167"/>
      </w:tblGrid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jc w:val="center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b/>
                <w:bCs/>
                <w:color w:val="30302F"/>
                <w:sz w:val="24"/>
                <w:szCs w:val="24"/>
              </w:rPr>
              <w:t> 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b/>
                <w:bCs/>
                <w:color w:val="30302F"/>
                <w:sz w:val="24"/>
                <w:szCs w:val="24"/>
              </w:rPr>
              <w:t>Pediatric Client with Acute Bacterial Sinusitis</w:t>
            </w:r>
          </w:p>
        </w:tc>
      </w:tr>
      <w:tr w:rsidR="00D26686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the clinical criteria that must be present to support this diagnosis in pediatric patients from newborn to 21 years of age. Categorize clinical signs and symptoms by: Persistent Symptoms, Severe Onset, or Worsening Symptoms.</w:t>
            </w:r>
          </w:p>
        </w:tc>
        <w:tc>
          <w:tcPr>
            <w:tcW w:w="331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Criteria for Persistent Symptoms.</w:t>
            </w:r>
          </w:p>
          <w:p w:rsidR="00D26686" w:rsidRPr="002C36EA" w:rsidRDefault="00D26686" w:rsidP="002C36EA">
            <w:pPr>
              <w:pStyle w:val="ListParagraph"/>
              <w:numPr>
                <w:ilvl w:val="0"/>
                <w:numId w:val="1"/>
              </w:numPr>
              <w:spacing w:before="30" w:after="150" w:line="390" w:lineRule="atLeast"/>
              <w:ind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Nasal discharge</w:t>
            </w:r>
            <w:r w:rsidR="002C36EA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or </w:t>
            </w:r>
            <w:r w:rsidRPr="002C36EA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Daytime cough</w:t>
            </w:r>
            <w:r w:rsidR="002C36EA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lasting more than 10 days without improvement</w:t>
            </w:r>
          </w:p>
        </w:tc>
        <w:tc>
          <w:tcPr>
            <w:tcW w:w="362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Criteria for Severe Onset of Symptoms.</w:t>
            </w:r>
          </w:p>
          <w:p w:rsidR="00D26686" w:rsidRPr="003F4A69" w:rsidRDefault="00D26686" w:rsidP="003F4A69">
            <w:pPr>
              <w:pStyle w:val="ListParagraph"/>
              <w:numPr>
                <w:ilvl w:val="0"/>
                <w:numId w:val="2"/>
              </w:numPr>
              <w:spacing w:before="30" w:after="150" w:line="390" w:lineRule="atLeast"/>
              <w:ind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Purulent nasal discharge for at least three consecutive days at the illness onset</w:t>
            </w:r>
            <w:r w:rsidR="003F4A6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and </w:t>
            </w:r>
            <w:r w:rsidRPr="003F4A6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Concurrent fever</w:t>
            </w:r>
            <w:r w:rsidR="003F4A6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</w:t>
            </w:r>
          </w:p>
        </w:tc>
        <w:tc>
          <w:tcPr>
            <w:tcW w:w="316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List Criteria for Worsening Symptoms.</w:t>
            </w:r>
          </w:p>
          <w:p w:rsidR="00D26686" w:rsidRPr="003F4A69" w:rsidRDefault="003F4A69" w:rsidP="003F4A69">
            <w:pPr>
              <w:pStyle w:val="ListParagraph"/>
              <w:numPr>
                <w:ilvl w:val="0"/>
                <w:numId w:val="3"/>
              </w:numPr>
              <w:spacing w:before="30" w:after="150" w:line="390" w:lineRule="atLeast"/>
              <w:ind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New onset of nasal discharge, daytime cough or fever after initial improvement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When would imaging studies be indicated?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CA7FA1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D2668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Imaging studies may be necessary for confirming a diagnosis in children </w:t>
            </w:r>
            <w:r w:rsidR="00CA7FA1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suspected of having orbital or central nervous system complications of ABS because of the possibility of surgical intervention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What is the recommended Antibiotic for Child with No Known Allergies?</w:t>
            </w:r>
          </w:p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Provide dose, frequency, mg., ml., length of treatment, number of dosing units (i.e. prescription information).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3F4A6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Prescribe amoxicillin with or without clavulanate as 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a </w:t>
            </w:r>
            <w:r w:rsidR="003F4A6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first-line treatment after a decision to make antibiotic treatment</w:t>
            </w:r>
          </w:p>
          <w:p w:rsidR="003F4A69" w:rsidRPr="00A80DB2" w:rsidRDefault="00A41C76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A s</w:t>
            </w:r>
            <w:r w:rsidR="002874DB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tandard dose of 45 mg/kg per day in two divided doses</w:t>
            </w:r>
            <w:r w:rsidR="00934E18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for 10-12 days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What is the second line Recommended Antibiotic for Child with 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an </w:t>
            </w: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allergy to PCN</w:t>
            </w:r>
          </w:p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Provide dose, frequency, mg., ml., length of treatment, number of dosing units (i.e. prescription information).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2874DB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Ce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fd</w:t>
            </w:r>
            <w:r w:rsidR="002874DB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inir, cefuroxime or cefpodoxime</w:t>
            </w:r>
          </w:p>
          <w:p w:rsidR="00934E18" w:rsidRDefault="00934E18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Cefuroxime tablets 500 mg/day taken as 250 mg BID Dosage from 250, 500 mg</w:t>
            </w:r>
          </w:p>
          <w:p w:rsidR="00934E18" w:rsidRPr="00A80DB2" w:rsidRDefault="00934E18" w:rsidP="00934E18">
            <w:pPr>
              <w:spacing w:before="30" w:after="150" w:line="390" w:lineRule="atLeast"/>
              <w:ind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When is Referral indicated?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8B641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Patients with a history of serious type 1 immediate or accelerated reaction to PCN can be referred to an allergist for penicillin skin-testing. If detected, patients 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hav</w:t>
            </w:r>
            <w:r w:rsidR="008B641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e referred</w:t>
            </w:r>
            <w:r w:rsidR="00DA6EB0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to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as</w:t>
            </w:r>
            <w:r w:rsidR="00DA6EB0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line two antibiotics (</w:t>
            </w:r>
            <w:r w:rsidR="00DA6EB0">
              <w:rPr>
                <w:rFonts w:ascii="Helvetica" w:eastAsia="Times New Roman" w:hAnsi="Helvetica" w:cs="Helvetica"/>
                <w:sz w:val="24"/>
                <w:szCs w:val="24"/>
              </w:rPr>
              <w:t xml:space="preserve">Fang, England, &amp; </w:t>
            </w:r>
            <w:proofErr w:type="spellStart"/>
            <w:r w:rsidR="00DA6EB0">
              <w:rPr>
                <w:rFonts w:ascii="Helvetica" w:eastAsia="Times New Roman" w:hAnsi="Helvetica" w:cs="Helvetica"/>
                <w:sz w:val="24"/>
                <w:szCs w:val="24"/>
              </w:rPr>
              <w:t>Gausche</w:t>
            </w:r>
            <w:proofErr w:type="spellEnd"/>
            <w:r w:rsidR="00DA6EB0">
              <w:rPr>
                <w:rFonts w:ascii="Helvetica" w:eastAsia="Times New Roman" w:hAnsi="Helvetica" w:cs="Helvetica"/>
                <w:sz w:val="24"/>
                <w:szCs w:val="24"/>
              </w:rPr>
              <w:t xml:space="preserve">-Hill, </w:t>
            </w:r>
            <w:r w:rsidR="00DA6EB0" w:rsidRPr="007A6526">
              <w:rPr>
                <w:rFonts w:ascii="Helvetica" w:eastAsia="Times New Roman" w:hAnsi="Helvetica" w:cs="Helvetica"/>
                <w:sz w:val="24"/>
                <w:szCs w:val="24"/>
              </w:rPr>
              <w:t>2015).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additional medications and or treatment strategies are recommended for treatment or symptomatic control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934E18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It is recommended that there should be no use of common agents for symptomatic treatment of cough or congestion.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is the treatment change in a child with worsening symptoms at 72 hours after initiation of antibiotic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BD782B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A reassessment is ordered discussed and strategy determined. The clinician should change the antibiotic therapy for child managed with 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an </w:t>
            </w:r>
            <w:r w:rsidR="00BD782B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antibiotic.</w:t>
            </w:r>
            <w:r w:rsidR="00C3057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Increase the dose of Amoxicillin-clavulanate to high dose</w:t>
            </w:r>
            <w:r w:rsidR="007A652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(</w:t>
            </w:r>
            <w:r w:rsidR="007A6526">
              <w:rPr>
                <w:rFonts w:ascii="Helvetica" w:eastAsia="Times New Roman" w:hAnsi="Helvetica" w:cs="Helvetica"/>
                <w:sz w:val="24"/>
                <w:szCs w:val="24"/>
              </w:rPr>
              <w:t xml:space="preserve">Frost, Gerber, &amp; </w:t>
            </w:r>
            <w:proofErr w:type="spellStart"/>
            <w:r w:rsidR="007A6526">
              <w:rPr>
                <w:rFonts w:ascii="Helvetica" w:eastAsia="Times New Roman" w:hAnsi="Helvetica" w:cs="Helvetica"/>
                <w:sz w:val="24"/>
                <w:szCs w:val="24"/>
              </w:rPr>
              <w:t>Hersh</w:t>
            </w:r>
            <w:proofErr w:type="spellEnd"/>
            <w:r w:rsidR="007A6526">
              <w:rPr>
                <w:rFonts w:ascii="Helvetica" w:eastAsia="Times New Roman" w:hAnsi="Helvetica" w:cs="Helvetica"/>
                <w:sz w:val="24"/>
                <w:szCs w:val="24"/>
              </w:rPr>
              <w:t xml:space="preserve">, </w:t>
            </w:r>
            <w:r w:rsidR="007A6526" w:rsidRPr="007A6526">
              <w:rPr>
                <w:rFonts w:ascii="Helvetica" w:eastAsia="Times New Roman" w:hAnsi="Helvetica" w:cs="Helvetica"/>
                <w:sz w:val="24"/>
                <w:szCs w:val="24"/>
              </w:rPr>
              <w:t>2019).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When is outpatient 72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-</w:t>
            </w: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hour “observation” acceptable?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0DB2" w:rsidRPr="00A80DB2" w:rsidRDefault="00A80DB2" w:rsidP="00A80DB2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610749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When the symptoms are increasing and the condition of the patient is worsening.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lastRenderedPageBreak/>
              <w:t>What modifications would be needed for the following children:</w:t>
            </w:r>
          </w:p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Four</w:t>
            </w:r>
            <w:r w:rsidR="00A41C76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-</w:t>
            </w: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year old who is otherwise healthy</w:t>
            </w: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               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Prescribe amoxicillin with or without clavulanate as first-line treatment after a decision to make antibiotic treatment with standard dose of 45 mg/kg per day in two divided doses for 10-12 days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Child with immune deficiency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Conduct  immunoglobin therapy alongside a higher dose of the antibiotics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Child with two prior sinus infections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Administer another line of antibiotic medication with a different dose from the ones used in the earlier incidences of the disease.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Child with cystic fibrosis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Administer cough medicine and dietary supplement alongside</w:t>
            </w: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antibacterial treatment</w:t>
            </w:r>
          </w:p>
        </w:tc>
      </w:tr>
      <w:tr w:rsidR="00DC4FF7" w:rsidRPr="00A80DB2" w:rsidTr="00DC4FF7">
        <w:tc>
          <w:tcPr>
            <w:tcW w:w="328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What other conditions would modify these treatment recommendations?</w:t>
            </w:r>
          </w:p>
        </w:tc>
        <w:tc>
          <w:tcPr>
            <w:tcW w:w="10110" w:type="dxa"/>
            <w:gridSpan w:val="3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C4FF7" w:rsidRPr="00DC4FF7" w:rsidRDefault="00DC4FF7" w:rsidP="00DC4FF7">
            <w:pP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  <w:r w:rsidRPr="00A80DB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 </w:t>
            </w:r>
            <w:r w:rsidR="002E6B7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P</w:t>
            </w:r>
            <w:r w:rsidRPr="00DC4FF7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rimary ciliary dyskinesia</w:t>
            </w:r>
            <w:r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, neonates and children younger than 1 year old</w:t>
            </w:r>
            <w:r w:rsidR="00DA6EB0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>, children</w:t>
            </w:r>
            <w:r w:rsidR="002E6B72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with anatomic abnormalities of sinuses</w:t>
            </w:r>
            <w:r w:rsidR="00DA6EB0"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  <w:t xml:space="preserve"> (</w:t>
            </w:r>
            <w:r w:rsidR="00DA6EB0">
              <w:rPr>
                <w:rFonts w:ascii="Helvetica" w:eastAsia="Times New Roman" w:hAnsi="Helvetica" w:cs="Helvetica"/>
                <w:sz w:val="24"/>
                <w:szCs w:val="24"/>
              </w:rPr>
              <w:t xml:space="preserve">Wald, &amp; </w:t>
            </w:r>
            <w:proofErr w:type="spellStart"/>
            <w:r w:rsidR="00DA6EB0">
              <w:rPr>
                <w:rFonts w:ascii="Helvetica" w:eastAsia="Times New Roman" w:hAnsi="Helvetica" w:cs="Helvetica"/>
                <w:sz w:val="24"/>
                <w:szCs w:val="24"/>
              </w:rPr>
              <w:t>DeMuri</w:t>
            </w:r>
            <w:proofErr w:type="spellEnd"/>
            <w:r w:rsidR="00DA6EB0">
              <w:rPr>
                <w:rFonts w:ascii="Helvetica" w:eastAsia="Times New Roman" w:hAnsi="Helvetica" w:cs="Helvetica"/>
                <w:sz w:val="24"/>
                <w:szCs w:val="24"/>
              </w:rPr>
              <w:t xml:space="preserve">, </w:t>
            </w:r>
            <w:r w:rsidR="00DA6EB0" w:rsidRPr="007A6526">
              <w:rPr>
                <w:rFonts w:ascii="Helvetica" w:eastAsia="Times New Roman" w:hAnsi="Helvetica" w:cs="Helvetica"/>
                <w:sz w:val="24"/>
                <w:szCs w:val="24"/>
              </w:rPr>
              <w:t>2018).</w:t>
            </w:r>
          </w:p>
          <w:p w:rsidR="00DC4FF7" w:rsidRPr="00A80DB2" w:rsidRDefault="00DC4FF7" w:rsidP="00DC4FF7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4"/>
                <w:szCs w:val="24"/>
              </w:rPr>
            </w:pPr>
          </w:p>
        </w:tc>
      </w:tr>
    </w:tbl>
    <w:p w:rsidR="00C95672" w:rsidRDefault="00C95672">
      <w:pPr>
        <w:rPr>
          <w:sz w:val="24"/>
          <w:szCs w:val="24"/>
        </w:rPr>
      </w:pPr>
    </w:p>
    <w:p w:rsidR="007A6526" w:rsidRDefault="007A6526">
      <w:pPr>
        <w:rPr>
          <w:sz w:val="24"/>
          <w:szCs w:val="24"/>
        </w:rPr>
      </w:pPr>
    </w:p>
    <w:p w:rsidR="007A6526" w:rsidRDefault="007A6526">
      <w:pPr>
        <w:rPr>
          <w:sz w:val="24"/>
          <w:szCs w:val="24"/>
        </w:rPr>
      </w:pPr>
    </w:p>
    <w:p w:rsidR="007A6526" w:rsidRPr="007A6526" w:rsidRDefault="007A6526" w:rsidP="007A6526">
      <w:pPr>
        <w:spacing w:line="480" w:lineRule="auto"/>
        <w:jc w:val="center"/>
        <w:rPr>
          <w:rFonts w:ascii="Helvetica" w:hAnsi="Helvetica" w:cs="Helvetica"/>
          <w:sz w:val="24"/>
          <w:szCs w:val="24"/>
        </w:rPr>
      </w:pPr>
      <w:r w:rsidRPr="007A6526">
        <w:rPr>
          <w:rFonts w:ascii="Helvetica" w:hAnsi="Helvetica" w:cs="Helvetica"/>
          <w:sz w:val="24"/>
          <w:szCs w:val="24"/>
        </w:rPr>
        <w:lastRenderedPageBreak/>
        <w:t>Reference</w:t>
      </w:r>
    </w:p>
    <w:p w:rsidR="007A6526" w:rsidRPr="007A6526" w:rsidRDefault="007A6526" w:rsidP="007A6526">
      <w:pPr>
        <w:spacing w:after="0" w:line="480" w:lineRule="auto"/>
        <w:rPr>
          <w:rFonts w:ascii="Helvetica" w:eastAsia="Times New Roman" w:hAnsi="Helvetica" w:cs="Helvetica"/>
          <w:sz w:val="24"/>
          <w:szCs w:val="24"/>
        </w:rPr>
      </w:pPr>
      <w:r w:rsidRPr="007A6526">
        <w:rPr>
          <w:rFonts w:ascii="Helvetica" w:eastAsia="Times New Roman" w:hAnsi="Helvetica" w:cs="Helvetica"/>
          <w:sz w:val="24"/>
          <w:szCs w:val="24"/>
        </w:rPr>
        <w:t xml:space="preserve">Frost, H. M., Gerber, J. S., &amp; </w:t>
      </w:r>
      <w:proofErr w:type="spellStart"/>
      <w:r w:rsidRPr="007A6526">
        <w:rPr>
          <w:rFonts w:ascii="Helvetica" w:eastAsia="Times New Roman" w:hAnsi="Helvetica" w:cs="Helvetica"/>
          <w:sz w:val="24"/>
          <w:szCs w:val="24"/>
        </w:rPr>
        <w:t>Hersh</w:t>
      </w:r>
      <w:proofErr w:type="spellEnd"/>
      <w:r w:rsidRPr="007A6526">
        <w:rPr>
          <w:rFonts w:ascii="Helvetica" w:eastAsia="Times New Roman" w:hAnsi="Helvetica" w:cs="Helvetica"/>
          <w:sz w:val="24"/>
          <w:szCs w:val="24"/>
        </w:rPr>
        <w:t xml:space="preserve">, A. L. (2019). Antibiotic Recommendations for Acute Otitis Media and Acute Bacterial </w:t>
      </w:r>
      <w:r>
        <w:rPr>
          <w:rFonts w:ascii="Helvetica" w:eastAsia="Times New Roman" w:hAnsi="Helvetica" w:cs="Helvetica"/>
          <w:sz w:val="24"/>
          <w:szCs w:val="24"/>
        </w:rPr>
        <w:tab/>
      </w:r>
      <w:r w:rsidRPr="007A6526">
        <w:rPr>
          <w:rFonts w:ascii="Helvetica" w:eastAsia="Times New Roman" w:hAnsi="Helvetica" w:cs="Helvetica"/>
          <w:sz w:val="24"/>
          <w:szCs w:val="24"/>
        </w:rPr>
        <w:t xml:space="preserve">Sinusitis. </w:t>
      </w:r>
      <w:r w:rsidRPr="007A6526">
        <w:rPr>
          <w:rFonts w:ascii="Helvetica" w:eastAsia="Times New Roman" w:hAnsi="Helvetica" w:cs="Helvetica"/>
          <w:i/>
          <w:iCs/>
          <w:sz w:val="24"/>
          <w:szCs w:val="24"/>
        </w:rPr>
        <w:t>The Pediatric infectious disease journal</w:t>
      </w:r>
      <w:r w:rsidRPr="007A6526">
        <w:rPr>
          <w:rFonts w:ascii="Helvetica" w:eastAsia="Times New Roman" w:hAnsi="Helvetica" w:cs="Helvetica"/>
          <w:sz w:val="24"/>
          <w:szCs w:val="24"/>
        </w:rPr>
        <w:t xml:space="preserve">, </w:t>
      </w:r>
      <w:r w:rsidRPr="007A6526">
        <w:rPr>
          <w:rFonts w:ascii="Helvetica" w:eastAsia="Times New Roman" w:hAnsi="Helvetica" w:cs="Helvetica"/>
          <w:i/>
          <w:iCs/>
          <w:sz w:val="24"/>
          <w:szCs w:val="24"/>
        </w:rPr>
        <w:t>38</w:t>
      </w:r>
      <w:r w:rsidRPr="007A6526">
        <w:rPr>
          <w:rFonts w:ascii="Helvetica" w:eastAsia="Times New Roman" w:hAnsi="Helvetica" w:cs="Helvetica"/>
          <w:sz w:val="24"/>
          <w:szCs w:val="24"/>
        </w:rPr>
        <w:t>(2), 217.</w:t>
      </w:r>
    </w:p>
    <w:p w:rsidR="007A6526" w:rsidRPr="007A6526" w:rsidRDefault="007A6526" w:rsidP="007A6526">
      <w:pPr>
        <w:spacing w:after="0" w:line="480" w:lineRule="auto"/>
        <w:rPr>
          <w:rFonts w:ascii="Helvetica" w:eastAsia="Times New Roman" w:hAnsi="Helvetica" w:cs="Helvetica"/>
          <w:sz w:val="24"/>
          <w:szCs w:val="24"/>
        </w:rPr>
      </w:pPr>
      <w:r w:rsidRPr="007A6526">
        <w:rPr>
          <w:rFonts w:ascii="Helvetica" w:eastAsia="Times New Roman" w:hAnsi="Helvetica" w:cs="Helvetica"/>
          <w:sz w:val="24"/>
          <w:szCs w:val="24"/>
        </w:rPr>
        <w:t xml:space="preserve">Fang, A., England, J., &amp; </w:t>
      </w:r>
      <w:proofErr w:type="spellStart"/>
      <w:r w:rsidRPr="007A6526">
        <w:rPr>
          <w:rFonts w:ascii="Helvetica" w:eastAsia="Times New Roman" w:hAnsi="Helvetica" w:cs="Helvetica"/>
          <w:sz w:val="24"/>
          <w:szCs w:val="24"/>
        </w:rPr>
        <w:t>Gausche</w:t>
      </w:r>
      <w:proofErr w:type="spellEnd"/>
      <w:r w:rsidRPr="007A6526">
        <w:rPr>
          <w:rFonts w:ascii="Helvetica" w:eastAsia="Times New Roman" w:hAnsi="Helvetica" w:cs="Helvetica"/>
          <w:sz w:val="24"/>
          <w:szCs w:val="24"/>
        </w:rPr>
        <w:t xml:space="preserve">-Hill, M. (2015). Pediatric acute bacterial sinusitis: Diagnostic and treatment dilemmas. </w:t>
      </w:r>
      <w:r>
        <w:rPr>
          <w:rFonts w:ascii="Helvetica" w:eastAsia="Times New Roman" w:hAnsi="Helvetica" w:cs="Helvetica"/>
          <w:sz w:val="24"/>
          <w:szCs w:val="24"/>
        </w:rPr>
        <w:tab/>
      </w:r>
      <w:r w:rsidRPr="007A6526">
        <w:rPr>
          <w:rFonts w:ascii="Helvetica" w:eastAsia="Times New Roman" w:hAnsi="Helvetica" w:cs="Helvetica"/>
          <w:i/>
          <w:iCs/>
          <w:sz w:val="24"/>
          <w:szCs w:val="24"/>
        </w:rPr>
        <w:t>Pediatric emergency care</w:t>
      </w:r>
      <w:r w:rsidRPr="007A6526">
        <w:rPr>
          <w:rFonts w:ascii="Helvetica" w:eastAsia="Times New Roman" w:hAnsi="Helvetica" w:cs="Helvetica"/>
          <w:sz w:val="24"/>
          <w:szCs w:val="24"/>
        </w:rPr>
        <w:t xml:space="preserve">, </w:t>
      </w:r>
      <w:r w:rsidRPr="007A6526">
        <w:rPr>
          <w:rFonts w:ascii="Helvetica" w:eastAsia="Times New Roman" w:hAnsi="Helvetica" w:cs="Helvetica"/>
          <w:i/>
          <w:iCs/>
          <w:sz w:val="24"/>
          <w:szCs w:val="24"/>
        </w:rPr>
        <w:t>31</w:t>
      </w:r>
      <w:r w:rsidRPr="007A6526">
        <w:rPr>
          <w:rFonts w:ascii="Helvetica" w:eastAsia="Times New Roman" w:hAnsi="Helvetica" w:cs="Helvetica"/>
          <w:sz w:val="24"/>
          <w:szCs w:val="24"/>
        </w:rPr>
        <w:t>(11), 789-794.</w:t>
      </w:r>
    </w:p>
    <w:p w:rsidR="007A6526" w:rsidRPr="007A6526" w:rsidRDefault="007A6526" w:rsidP="007A6526">
      <w:pPr>
        <w:spacing w:after="0" w:line="480" w:lineRule="auto"/>
        <w:rPr>
          <w:rFonts w:ascii="Helvetica" w:eastAsia="Times New Roman" w:hAnsi="Helvetica" w:cs="Helvetica"/>
          <w:sz w:val="24"/>
          <w:szCs w:val="24"/>
        </w:rPr>
      </w:pPr>
      <w:r w:rsidRPr="007A6526">
        <w:rPr>
          <w:rFonts w:ascii="Helvetica" w:eastAsia="Times New Roman" w:hAnsi="Helvetica" w:cs="Helvetica"/>
          <w:sz w:val="24"/>
          <w:szCs w:val="24"/>
        </w:rPr>
        <w:t xml:space="preserve">Wald, E. R., &amp; </w:t>
      </w:r>
      <w:proofErr w:type="spellStart"/>
      <w:r w:rsidRPr="007A6526">
        <w:rPr>
          <w:rFonts w:ascii="Helvetica" w:eastAsia="Times New Roman" w:hAnsi="Helvetica" w:cs="Helvetica"/>
          <w:sz w:val="24"/>
          <w:szCs w:val="24"/>
        </w:rPr>
        <w:t>DeMuri</w:t>
      </w:r>
      <w:proofErr w:type="spellEnd"/>
      <w:r w:rsidRPr="007A6526">
        <w:rPr>
          <w:rFonts w:ascii="Helvetica" w:eastAsia="Times New Roman" w:hAnsi="Helvetica" w:cs="Helvetica"/>
          <w:sz w:val="24"/>
          <w:szCs w:val="24"/>
        </w:rPr>
        <w:t xml:space="preserve">, G. P. (2018). Complications of Acute Bacterial Sinusitis in Children. In </w:t>
      </w:r>
      <w:r w:rsidRPr="007A6526">
        <w:rPr>
          <w:rFonts w:ascii="Helvetica" w:eastAsia="Times New Roman" w:hAnsi="Helvetica" w:cs="Helvetica"/>
          <w:i/>
          <w:iCs/>
          <w:sz w:val="24"/>
          <w:szCs w:val="24"/>
        </w:rPr>
        <w:t xml:space="preserve">Infections of the Ears, </w:t>
      </w:r>
      <w:r>
        <w:rPr>
          <w:rFonts w:ascii="Helvetica" w:eastAsia="Times New Roman" w:hAnsi="Helvetica" w:cs="Helvetica"/>
          <w:i/>
          <w:iCs/>
          <w:sz w:val="24"/>
          <w:szCs w:val="24"/>
        </w:rPr>
        <w:tab/>
      </w:r>
      <w:r w:rsidRPr="007A6526">
        <w:rPr>
          <w:rFonts w:ascii="Helvetica" w:eastAsia="Times New Roman" w:hAnsi="Helvetica" w:cs="Helvetica"/>
          <w:i/>
          <w:iCs/>
          <w:sz w:val="24"/>
          <w:szCs w:val="24"/>
        </w:rPr>
        <w:t>Nose, Throat, and Sinuses</w:t>
      </w:r>
      <w:r w:rsidRPr="007A6526">
        <w:rPr>
          <w:rFonts w:ascii="Helvetica" w:eastAsia="Times New Roman" w:hAnsi="Helvetica" w:cs="Helvetica"/>
          <w:sz w:val="24"/>
          <w:szCs w:val="24"/>
        </w:rPr>
        <w:t xml:space="preserve"> (pp. 145-154). Springer, Cham.</w:t>
      </w:r>
    </w:p>
    <w:p w:rsidR="007A6526" w:rsidRPr="00A80DB2" w:rsidRDefault="007A6526">
      <w:pPr>
        <w:rPr>
          <w:sz w:val="24"/>
          <w:szCs w:val="24"/>
        </w:rPr>
      </w:pPr>
    </w:p>
    <w:sectPr w:rsidR="007A6526" w:rsidRPr="00A80DB2" w:rsidSect="00A80D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20CDB"/>
    <w:multiLevelType w:val="hybridMultilevel"/>
    <w:tmpl w:val="D1D2FCE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308D44A8"/>
    <w:multiLevelType w:val="hybridMultilevel"/>
    <w:tmpl w:val="51F81488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339C387F"/>
    <w:multiLevelType w:val="hybridMultilevel"/>
    <w:tmpl w:val="1E0AA8B2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xsTSwMDM1MzE0NzBX0lEKTi0uzszPAykwrAUA1V+PGiwAAAA="/>
  </w:docVars>
  <w:rsids>
    <w:rsidRoot w:val="00A80DB2"/>
    <w:rsid w:val="00050677"/>
    <w:rsid w:val="000966AB"/>
    <w:rsid w:val="002305FA"/>
    <w:rsid w:val="002874DB"/>
    <w:rsid w:val="002C36EA"/>
    <w:rsid w:val="002E6B72"/>
    <w:rsid w:val="003D2FBC"/>
    <w:rsid w:val="003F4A69"/>
    <w:rsid w:val="00610749"/>
    <w:rsid w:val="007A6526"/>
    <w:rsid w:val="00837FD6"/>
    <w:rsid w:val="008563AD"/>
    <w:rsid w:val="008B6416"/>
    <w:rsid w:val="00934E18"/>
    <w:rsid w:val="00A41C76"/>
    <w:rsid w:val="00A641E1"/>
    <w:rsid w:val="00A80DB2"/>
    <w:rsid w:val="00BD782B"/>
    <w:rsid w:val="00C30579"/>
    <w:rsid w:val="00C95672"/>
    <w:rsid w:val="00CA7FA1"/>
    <w:rsid w:val="00D26686"/>
    <w:rsid w:val="00DA6EB0"/>
    <w:rsid w:val="00DC4FF7"/>
    <w:rsid w:val="00E55425"/>
    <w:rsid w:val="00F7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ABC77D-3EE6-4816-9F02-375BD4F6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77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 Shell</dc:creator>
  <cp:lastModifiedBy>Scofied</cp:lastModifiedBy>
  <cp:revision>2</cp:revision>
  <dcterms:created xsi:type="dcterms:W3CDTF">2019-05-27T17:50:00Z</dcterms:created>
  <dcterms:modified xsi:type="dcterms:W3CDTF">2019-05-27T17:50:00Z</dcterms:modified>
</cp:coreProperties>
</file>